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DB3F"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E139CE2" wp14:editId="21764D8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3684E5DD"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373314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536D43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3778D14" w14:textId="77777777" w:rsidR="00B5191C" w:rsidRDefault="00B5191C" w:rsidP="00B5191C">
      <w:pPr>
        <w:ind w:left="4320" w:hanging="4320"/>
        <w:rPr>
          <w:rFonts w:ascii="Arial" w:hAnsi="Arial"/>
          <w:sz w:val="20"/>
        </w:rPr>
      </w:pPr>
    </w:p>
    <w:p w14:paraId="4C6C2F54" w14:textId="77777777" w:rsidR="00B5191C" w:rsidRPr="00DA5F45" w:rsidRDefault="00B5191C" w:rsidP="00B5191C">
      <w:pPr>
        <w:pStyle w:val="BodyText"/>
        <w:rPr>
          <w:rFonts w:ascii="Arial" w:hAnsi="Arial"/>
        </w:rPr>
      </w:pPr>
      <w:r w:rsidRPr="00DA5F45">
        <w:rPr>
          <w:rFonts w:ascii="Arial" w:hAnsi="Arial"/>
        </w:rPr>
        <w:t>FOR MORE INFORMATION:</w:t>
      </w:r>
    </w:p>
    <w:p w14:paraId="6D60751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879E44E"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7384718" w14:textId="77777777" w:rsidR="00B5191C" w:rsidRDefault="00B5191C" w:rsidP="00B5191C">
      <w:pPr>
        <w:ind w:left="4320" w:hanging="4320"/>
        <w:rPr>
          <w:rFonts w:ascii="Arial" w:hAnsi="Arial"/>
          <w:sz w:val="20"/>
        </w:rPr>
      </w:pPr>
      <w:r w:rsidRPr="00DA5F45">
        <w:rPr>
          <w:rFonts w:ascii="Arial" w:hAnsi="Arial"/>
          <w:sz w:val="20"/>
        </w:rPr>
        <w:t>Organization</w:t>
      </w:r>
    </w:p>
    <w:p w14:paraId="750C5DD9"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767950E1" w14:textId="77777777" w:rsidR="00B5191C" w:rsidRPr="00DA5F45" w:rsidRDefault="00B5191C" w:rsidP="00B5191C">
      <w:pPr>
        <w:rPr>
          <w:rFonts w:ascii="Arial" w:hAnsi="Arial"/>
          <w:sz w:val="20"/>
        </w:rPr>
      </w:pPr>
    </w:p>
    <w:p w14:paraId="2720BC1B" w14:textId="77777777" w:rsidR="00B5191C" w:rsidRPr="00DA5F45" w:rsidRDefault="00B5191C" w:rsidP="00B5191C">
      <w:pPr>
        <w:rPr>
          <w:rFonts w:ascii="Arial" w:hAnsi="Arial"/>
          <w:sz w:val="20"/>
        </w:rPr>
      </w:pPr>
    </w:p>
    <w:p w14:paraId="2DDD0EBC" w14:textId="5CFB8850" w:rsidR="00B5191C" w:rsidRPr="0064140D"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64140D">
        <w:rPr>
          <w:rFonts w:ascii="Arial" w:hAnsi="Arial"/>
          <w:b/>
          <w:sz w:val="28"/>
        </w:rPr>
        <w:t xml:space="preserve">Highlights the Women at the Forefront of the </w:t>
      </w:r>
      <w:r w:rsidR="0064140D">
        <w:rPr>
          <w:rFonts w:ascii="Arial" w:hAnsi="Arial"/>
          <w:b/>
          <w:i/>
          <w:iCs/>
          <w:sz w:val="28"/>
        </w:rPr>
        <w:t xml:space="preserve">Brown v Board of Education </w:t>
      </w:r>
      <w:r w:rsidR="0064140D">
        <w:rPr>
          <w:rFonts w:ascii="Arial" w:hAnsi="Arial"/>
          <w:b/>
          <w:sz w:val="28"/>
        </w:rPr>
        <w:t>Case</w:t>
      </w:r>
    </w:p>
    <w:p w14:paraId="148AFB3F" w14:textId="77777777" w:rsidR="00B5191C" w:rsidRPr="00DA5F45" w:rsidRDefault="00B5191C" w:rsidP="00B5191C">
      <w:pPr>
        <w:rPr>
          <w:rFonts w:ascii="Arial" w:hAnsi="Arial"/>
          <w:b/>
          <w:sz w:val="22"/>
        </w:rPr>
      </w:pPr>
    </w:p>
    <w:p w14:paraId="32D55529" w14:textId="68310DD4"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64140D">
        <w:rPr>
          <w:rFonts w:ascii="Arial" w:hAnsi="Arial"/>
          <w:bCs/>
          <w:sz w:val="22"/>
        </w:rPr>
        <w:t>The Women of Brown</w:t>
      </w:r>
      <w:r w:rsidRPr="00DA5F45">
        <w:rPr>
          <w:rFonts w:ascii="Arial" w:hAnsi="Arial"/>
          <w:sz w:val="22"/>
        </w:rPr>
        <w:t xml:space="preserve">,” a presentation and discussion by </w:t>
      </w:r>
      <w:r w:rsidR="00F44AD8">
        <w:rPr>
          <w:rFonts w:ascii="Arial" w:hAnsi="Arial"/>
          <w:sz w:val="22"/>
        </w:rPr>
        <w:t>Donna Rae Pe</w:t>
      </w:r>
      <w:r w:rsidR="00AD229D">
        <w:rPr>
          <w:rFonts w:ascii="Arial" w:hAnsi="Arial"/>
          <w:sz w:val="22"/>
        </w:rPr>
        <w:t>ar</w:t>
      </w:r>
      <w:r w:rsidR="00F44AD8">
        <w:rPr>
          <w:rFonts w:ascii="Arial" w:hAnsi="Arial"/>
          <w:sz w:val="22"/>
        </w:rPr>
        <w:t>son</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D30E55B" w14:textId="77777777" w:rsidR="00B5191C" w:rsidRPr="00DA5F45" w:rsidRDefault="00B5191C" w:rsidP="00B5191C">
      <w:pPr>
        <w:rPr>
          <w:rFonts w:ascii="Arial" w:hAnsi="Arial"/>
          <w:sz w:val="22"/>
        </w:rPr>
      </w:pPr>
    </w:p>
    <w:p w14:paraId="17DB974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E470948" w14:textId="77777777" w:rsidR="00B5191C" w:rsidRPr="00DA5F45" w:rsidRDefault="00B5191C" w:rsidP="00B5191C">
      <w:pPr>
        <w:rPr>
          <w:rFonts w:ascii="Arial" w:hAnsi="Arial"/>
          <w:sz w:val="22"/>
        </w:rPr>
      </w:pPr>
    </w:p>
    <w:p w14:paraId="25DEB3DC" w14:textId="63E4CB5E" w:rsidR="00B5191C" w:rsidRDefault="0064140D" w:rsidP="0064140D">
      <w:pPr>
        <w:rPr>
          <w:rFonts w:ascii="Arial" w:hAnsi="Arial"/>
          <w:sz w:val="22"/>
        </w:rPr>
      </w:pPr>
      <w:r w:rsidRPr="0064140D">
        <w:rPr>
          <w:rFonts w:ascii="Arial" w:hAnsi="Arial"/>
          <w:sz w:val="22"/>
        </w:rPr>
        <w:t>Twelve Black women were at the forefront of the civil rights movement as</w:t>
      </w:r>
      <w:r>
        <w:rPr>
          <w:rFonts w:ascii="Arial" w:hAnsi="Arial"/>
          <w:sz w:val="22"/>
        </w:rPr>
        <w:t xml:space="preserve"> </w:t>
      </w:r>
      <w:r w:rsidRPr="0064140D">
        <w:rPr>
          <w:rFonts w:ascii="Arial" w:hAnsi="Arial"/>
          <w:sz w:val="22"/>
        </w:rPr>
        <w:t xml:space="preserve">plaintiffs in </w:t>
      </w:r>
      <w:r w:rsidRPr="0064140D">
        <w:rPr>
          <w:rFonts w:ascii="Arial" w:hAnsi="Arial"/>
          <w:sz w:val="22"/>
        </w:rPr>
        <w:t xml:space="preserve">the </w:t>
      </w:r>
      <w:r>
        <w:rPr>
          <w:rFonts w:ascii="Arial" w:hAnsi="Arial"/>
          <w:sz w:val="22"/>
        </w:rPr>
        <w:t>landmark</w:t>
      </w:r>
      <w:r w:rsidRPr="0064140D">
        <w:rPr>
          <w:rFonts w:ascii="Arial" w:hAnsi="Arial"/>
          <w:sz w:val="22"/>
        </w:rPr>
        <w:t xml:space="preserve"> Brown v. Board of Education case. Unfortunately,</w:t>
      </w:r>
      <w:r>
        <w:rPr>
          <w:rFonts w:ascii="Arial" w:hAnsi="Arial"/>
          <w:sz w:val="22"/>
        </w:rPr>
        <w:t xml:space="preserve"> </w:t>
      </w:r>
      <w:r w:rsidRPr="0064140D">
        <w:rPr>
          <w:rFonts w:ascii="Arial" w:hAnsi="Arial"/>
          <w:sz w:val="22"/>
        </w:rPr>
        <w:t>their contributions to the civil rights movement have often been</w:t>
      </w:r>
      <w:r>
        <w:rPr>
          <w:rFonts w:ascii="Arial" w:hAnsi="Arial"/>
          <w:sz w:val="22"/>
        </w:rPr>
        <w:t xml:space="preserve"> </w:t>
      </w:r>
      <w:r w:rsidRPr="0064140D">
        <w:rPr>
          <w:rFonts w:ascii="Arial" w:hAnsi="Arial"/>
          <w:sz w:val="22"/>
        </w:rPr>
        <w:t>overlooked, yet they are essential to the story of the Brown decision and</w:t>
      </w:r>
      <w:r>
        <w:rPr>
          <w:rFonts w:ascii="Arial" w:hAnsi="Arial"/>
          <w:sz w:val="22"/>
        </w:rPr>
        <w:t xml:space="preserve"> </w:t>
      </w:r>
      <w:r w:rsidRPr="0064140D">
        <w:rPr>
          <w:rFonts w:ascii="Arial" w:hAnsi="Arial"/>
          <w:sz w:val="22"/>
        </w:rPr>
        <w:t>its impact on American society. This presentation will shine a light on their</w:t>
      </w:r>
      <w:r>
        <w:rPr>
          <w:rFonts w:ascii="Arial" w:hAnsi="Arial"/>
          <w:sz w:val="22"/>
        </w:rPr>
        <w:t xml:space="preserve"> </w:t>
      </w:r>
      <w:r w:rsidRPr="0064140D">
        <w:rPr>
          <w:rFonts w:ascii="Arial" w:hAnsi="Arial"/>
          <w:sz w:val="22"/>
        </w:rPr>
        <w:t>stories and</w:t>
      </w:r>
      <w:r>
        <w:rPr>
          <w:rFonts w:ascii="Arial" w:hAnsi="Arial"/>
          <w:sz w:val="22"/>
        </w:rPr>
        <w:t xml:space="preserve"> </w:t>
      </w:r>
      <w:r w:rsidRPr="0064140D">
        <w:rPr>
          <w:rFonts w:ascii="Arial" w:hAnsi="Arial"/>
          <w:sz w:val="22"/>
        </w:rPr>
        <w:t>ensure that their names are not forgotten.</w:t>
      </w:r>
    </w:p>
    <w:p w14:paraId="0FE93527" w14:textId="77777777" w:rsidR="0064140D" w:rsidRPr="00DA5F45" w:rsidRDefault="0064140D" w:rsidP="0064140D">
      <w:pPr>
        <w:rPr>
          <w:rFonts w:ascii="Arial" w:hAnsi="Arial"/>
          <w:sz w:val="22"/>
        </w:rPr>
      </w:pPr>
    </w:p>
    <w:p w14:paraId="6BA6C008" w14:textId="398FABD1" w:rsidR="00B5191C" w:rsidRPr="00DA5F45" w:rsidRDefault="00F44AD8" w:rsidP="00B5191C">
      <w:pPr>
        <w:rPr>
          <w:rFonts w:ascii="Arial" w:hAnsi="Arial"/>
          <w:sz w:val="22"/>
        </w:rPr>
      </w:pPr>
      <w:r>
        <w:rPr>
          <w:rFonts w:ascii="Arial" w:hAnsi="Arial"/>
          <w:sz w:val="22"/>
        </w:rPr>
        <w:t xml:space="preserve">Donna Rae is </w:t>
      </w:r>
      <w:r w:rsidR="00F116E0">
        <w:rPr>
          <w:rFonts w:ascii="Arial" w:hAnsi="Arial"/>
          <w:sz w:val="22"/>
        </w:rPr>
        <w:t>a museum specialist at the Kansas Historical Society</w:t>
      </w:r>
      <w:r w:rsidR="00AE318A" w:rsidRPr="00AE318A">
        <w:rPr>
          <w:rFonts w:ascii="Arial" w:hAnsi="Arial"/>
          <w:sz w:val="22"/>
        </w:rPr>
        <w:t>.</w:t>
      </w:r>
    </w:p>
    <w:p w14:paraId="7721ED30" w14:textId="77777777" w:rsidR="00B5191C" w:rsidRPr="00DA5F45" w:rsidRDefault="00B5191C" w:rsidP="00B5191C">
      <w:pPr>
        <w:rPr>
          <w:rFonts w:ascii="Arial" w:hAnsi="Arial"/>
          <w:sz w:val="22"/>
        </w:rPr>
      </w:pPr>
    </w:p>
    <w:p w14:paraId="6B95350F" w14:textId="0A624F5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64140D" w:rsidRPr="0064140D">
        <w:rPr>
          <w:rFonts w:ascii="Arial" w:eastAsia="Cambria" w:hAnsi="Arial" w:cs="Arial"/>
          <w:sz w:val="22"/>
          <w:szCs w:val="32"/>
        </w:rPr>
        <w:t>The Women of Brown</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6216C92" w14:textId="77777777" w:rsidR="00B5191C" w:rsidRPr="00DA5F45" w:rsidRDefault="00B5191C" w:rsidP="00B5191C">
      <w:pPr>
        <w:rPr>
          <w:rFonts w:ascii="Arial" w:eastAsia="Cambria" w:hAnsi="Arial" w:cs="Arial"/>
          <w:sz w:val="22"/>
          <w:szCs w:val="32"/>
        </w:rPr>
      </w:pPr>
    </w:p>
    <w:p w14:paraId="0002E02C" w14:textId="77777777" w:rsidR="00B5191C" w:rsidRPr="00DA5F45" w:rsidRDefault="00B5191C" w:rsidP="00B5191C">
      <w:pPr>
        <w:rPr>
          <w:rFonts w:ascii="Arial" w:hAnsi="Arial"/>
          <w:sz w:val="22"/>
        </w:rPr>
      </w:pPr>
    </w:p>
    <w:p w14:paraId="095EAA6A" w14:textId="77777777" w:rsidR="00B5191C" w:rsidRPr="00DA5F45" w:rsidRDefault="00B5191C" w:rsidP="00B5191C">
      <w:pPr>
        <w:jc w:val="center"/>
        <w:rPr>
          <w:rFonts w:ascii="Arial" w:hAnsi="Arial"/>
          <w:b/>
          <w:sz w:val="22"/>
        </w:rPr>
      </w:pPr>
      <w:r w:rsidRPr="00DA5F45">
        <w:rPr>
          <w:rFonts w:ascii="Arial" w:hAnsi="Arial"/>
          <w:b/>
          <w:sz w:val="22"/>
        </w:rPr>
        <w:t>-MORE-</w:t>
      </w:r>
    </w:p>
    <w:p w14:paraId="0FBC615B" w14:textId="77777777" w:rsidR="00B5191C" w:rsidRPr="00DA5F45" w:rsidRDefault="00B5191C" w:rsidP="00B5191C">
      <w:pPr>
        <w:jc w:val="center"/>
        <w:rPr>
          <w:rFonts w:ascii="Arial" w:hAnsi="Arial"/>
          <w:b/>
          <w:sz w:val="22"/>
        </w:rPr>
      </w:pPr>
      <w:r w:rsidRPr="00DA5F45">
        <w:rPr>
          <w:rFonts w:ascii="Arial" w:hAnsi="Arial"/>
          <w:b/>
          <w:sz w:val="22"/>
        </w:rPr>
        <w:br w:type="page"/>
      </w:r>
    </w:p>
    <w:p w14:paraId="48EF8DE3" w14:textId="62BF6AFD"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4140D" w:rsidRPr="0064140D">
        <w:rPr>
          <w:rFonts w:ascii="Arial" w:hAnsi="Arial"/>
          <w:i/>
          <w:sz w:val="18"/>
        </w:rPr>
        <w:t>Highlights the Women at the Forefront of the Brown v Board of Education Case</w:t>
      </w:r>
    </w:p>
    <w:p w14:paraId="2923162F" w14:textId="77777777" w:rsidR="00B5191C" w:rsidRPr="00DA5F45" w:rsidRDefault="00B5191C" w:rsidP="00B5191C">
      <w:pPr>
        <w:rPr>
          <w:rFonts w:ascii="Arial" w:hAnsi="Arial"/>
          <w:sz w:val="22"/>
        </w:rPr>
      </w:pPr>
    </w:p>
    <w:p w14:paraId="4216BEF3" w14:textId="53B33727"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64140D" w:rsidRPr="0064140D">
        <w:rPr>
          <w:rFonts w:ascii="Arial" w:hAnsi="Arial"/>
          <w:bCs/>
          <w:sz w:val="22"/>
        </w:rPr>
        <w:t>The Women of Brown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7DA83AC1" w14:textId="77777777" w:rsidR="00B5191C" w:rsidRDefault="00B5191C" w:rsidP="00B5191C">
      <w:pPr>
        <w:spacing w:line="360" w:lineRule="auto"/>
        <w:rPr>
          <w:rFonts w:ascii="Arial" w:eastAsia="Cambria" w:hAnsi="Arial" w:cs="Arial"/>
          <w:sz w:val="22"/>
          <w:szCs w:val="32"/>
        </w:rPr>
      </w:pPr>
    </w:p>
    <w:p w14:paraId="39E2ED15"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1AE18EB"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1EFEC47E" w14:textId="77777777" w:rsidR="00B5191C" w:rsidRPr="00DA5F45" w:rsidRDefault="00B5191C" w:rsidP="00B5191C">
      <w:pPr>
        <w:spacing w:line="360" w:lineRule="auto"/>
        <w:rPr>
          <w:rFonts w:ascii="Arial" w:eastAsia="Cambria" w:hAnsi="Arial" w:cs="Arial"/>
          <w:sz w:val="22"/>
          <w:szCs w:val="32"/>
        </w:rPr>
      </w:pPr>
    </w:p>
    <w:p w14:paraId="2EC4D670"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0635729"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8F3"/>
    <w:rsid w:val="000A219C"/>
    <w:rsid w:val="000A4C31"/>
    <w:rsid w:val="00250E9C"/>
    <w:rsid w:val="00321389"/>
    <w:rsid w:val="003C7339"/>
    <w:rsid w:val="004C0BDE"/>
    <w:rsid w:val="006264D6"/>
    <w:rsid w:val="0064140D"/>
    <w:rsid w:val="007568F3"/>
    <w:rsid w:val="00A25917"/>
    <w:rsid w:val="00AD229D"/>
    <w:rsid w:val="00AE318A"/>
    <w:rsid w:val="00B5191C"/>
    <w:rsid w:val="00B812DC"/>
    <w:rsid w:val="00BE4468"/>
    <w:rsid w:val="00F116E0"/>
    <w:rsid w:val="00F44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D2344C9"/>
  <w14:defaultImageDpi w14:val="32767"/>
  <w15:chartTrackingRefBased/>
  <w15:docId w15:val="{CBE2A570-2538-8D42-9AAD-6E8735761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5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97</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7</cp:revision>
  <cp:lastPrinted>2022-01-03T20:58:00Z</cp:lastPrinted>
  <dcterms:created xsi:type="dcterms:W3CDTF">2022-01-14T22:05:00Z</dcterms:created>
  <dcterms:modified xsi:type="dcterms:W3CDTF">2023-09-14T16:53:00Z</dcterms:modified>
</cp:coreProperties>
</file>